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F3" w:rsidRPr="00E52965" w:rsidRDefault="003C45F3" w:rsidP="003C45F3">
      <w:pPr>
        <w:ind w:left="0" w:right="4"/>
        <w:jc w:val="center"/>
        <w:rPr>
          <w:rFonts w:ascii="Verdana" w:hAnsi="Verdana"/>
          <w:b/>
          <w:sz w:val="32"/>
          <w:szCs w:val="32"/>
        </w:rPr>
      </w:pPr>
      <w:r w:rsidRPr="00E52965">
        <w:rPr>
          <w:rFonts w:ascii="Verdana" w:hAnsi="Verdana"/>
          <w:b/>
          <w:sz w:val="32"/>
          <w:szCs w:val="32"/>
        </w:rPr>
        <w:t>LEO FINANCIAL SERVICES LIMITED</w:t>
      </w:r>
    </w:p>
    <w:p w:rsidR="003C45F3" w:rsidRPr="00730EC5" w:rsidRDefault="003C45F3" w:rsidP="003C45F3">
      <w:pPr>
        <w:pStyle w:val="ListParagraph"/>
        <w:widowControl/>
        <w:autoSpaceDE/>
        <w:autoSpaceDN/>
        <w:spacing w:before="240" w:after="180" w:line="300" w:lineRule="atLeast"/>
        <w:ind w:left="0" w:firstLine="0"/>
        <w:jc w:val="center"/>
        <w:rPr>
          <w:rFonts w:ascii="Segoe UI" w:eastAsia="Times New Roman" w:hAnsi="Segoe UI" w:cs="Segoe UI"/>
          <w:sz w:val="23"/>
          <w:szCs w:val="23"/>
        </w:rPr>
      </w:pPr>
      <w:r w:rsidRPr="00E52965">
        <w:rPr>
          <w:rFonts w:ascii="Verdana" w:eastAsia="Times New Roman" w:hAnsi="Verdana" w:cs="Times New Roman"/>
          <w:b/>
          <w:color w:val="000000"/>
          <w:sz w:val="28"/>
          <w:szCs w:val="28"/>
        </w:rPr>
        <w:t>Policy on</w:t>
      </w:r>
      <w:r w:rsidR="006D12B8">
        <w:rPr>
          <w:rFonts w:ascii="Verdana" w:eastAsia="Times New Roman" w:hAnsi="Verdana" w:cs="Times New Roman"/>
          <w:b/>
          <w:color w:val="000000"/>
          <w:sz w:val="28"/>
          <w:szCs w:val="28"/>
        </w:rPr>
        <w:t xml:space="preserve"> </w:t>
      </w:r>
      <w:r w:rsidRPr="003C45F3">
        <w:rPr>
          <w:rFonts w:ascii="Verdana" w:eastAsia="Times New Roman" w:hAnsi="Verdana" w:cs="Segoe UI"/>
          <w:b/>
          <w:bCs/>
          <w:sz w:val="28"/>
          <w:szCs w:val="28"/>
        </w:rPr>
        <w:t>Granting of</w:t>
      </w:r>
      <w:r>
        <w:rPr>
          <w:rFonts w:ascii="Verdana" w:eastAsia="Times New Roman" w:hAnsi="Verdana" w:cs="Segoe UI"/>
          <w:b/>
          <w:bCs/>
          <w:sz w:val="28"/>
          <w:szCs w:val="28"/>
        </w:rPr>
        <w:t xml:space="preserve"> F</w:t>
      </w:r>
      <w:r w:rsidRPr="003C45F3">
        <w:rPr>
          <w:rFonts w:ascii="Verdana" w:eastAsia="Times New Roman" w:hAnsi="Verdana" w:cs="Segoe UI"/>
          <w:b/>
          <w:bCs/>
          <w:sz w:val="28"/>
          <w:szCs w:val="28"/>
        </w:rPr>
        <w:t>urther Exposures</w:t>
      </w:r>
    </w:p>
    <w:p w:rsidR="003C45F3" w:rsidRDefault="003C45F3" w:rsidP="003C45F3">
      <w:pPr>
        <w:rPr>
          <w:rFonts w:ascii="Verdana" w:eastAsia="Times New Roman" w:hAnsi="Verdana" w:cs="Times New Roman"/>
          <w:b/>
          <w:color w:val="000000"/>
          <w:sz w:val="24"/>
          <w:szCs w:val="24"/>
        </w:rPr>
      </w:pPr>
    </w:p>
    <w:p w:rsidR="002331A0" w:rsidRDefault="002331A0" w:rsidP="002331A0">
      <w:pPr>
        <w:pStyle w:val="BodyText"/>
        <w:spacing w:before="1"/>
        <w:ind w:right="134"/>
        <w:rPr>
          <w:rFonts w:ascii="Verdana" w:hAnsi="Verdana"/>
        </w:rPr>
      </w:pPr>
      <w:r w:rsidRPr="00AB224E">
        <w:rPr>
          <w:rFonts w:ascii="Verdana" w:hAnsi="Verdana"/>
          <w:b/>
          <w:u w:val="thick"/>
        </w:rPr>
        <w:t>Restrictions/Prohibition to take further position or closing existing position</w:t>
      </w:r>
      <w:r w:rsidRPr="00AB224E">
        <w:rPr>
          <w:rFonts w:ascii="Verdana" w:hAnsi="Verdana"/>
        </w:rPr>
        <w:t xml:space="preserve">: </w:t>
      </w:r>
    </w:p>
    <w:p w:rsidR="003C45F3" w:rsidRDefault="003C45F3" w:rsidP="002331A0">
      <w:pPr>
        <w:pStyle w:val="BodyText"/>
        <w:spacing w:before="1"/>
        <w:ind w:right="134"/>
        <w:rPr>
          <w:rFonts w:ascii="Verdana" w:hAnsi="Verdana"/>
        </w:rPr>
      </w:pPr>
    </w:p>
    <w:p w:rsidR="002331A0" w:rsidRPr="00AB224E" w:rsidRDefault="002331A0" w:rsidP="002331A0">
      <w:pPr>
        <w:pStyle w:val="BodyText"/>
        <w:spacing w:before="1"/>
        <w:ind w:right="134"/>
        <w:rPr>
          <w:rFonts w:ascii="Verdana" w:hAnsi="Verdana"/>
        </w:rPr>
      </w:pPr>
      <w:r w:rsidRPr="00AB224E">
        <w:rPr>
          <w:rFonts w:ascii="Verdana" w:hAnsi="Verdana"/>
        </w:rPr>
        <w:t>Under any of the circumstances, such as, client’s failure to meet pay-in or margin obligations or clearance of outstanding/debit balance with broker before permissible time limit or beyond such period as may be allowed by broker as per its RMS policy, the Client may not be permitted to take any fresh or further position until the full clearance of earlier dues, obligation, outstanding etc. Even, broker can firstly set-off or adjust the payment or securities towards various dues and obligation of the client and until the full clearance of the same, shall not allow the client to take further / freshposition.</w:t>
      </w:r>
    </w:p>
    <w:p w:rsidR="003C45F3" w:rsidRDefault="003C45F3" w:rsidP="002331A0">
      <w:pPr>
        <w:pStyle w:val="BodyText"/>
        <w:ind w:right="135"/>
        <w:rPr>
          <w:rFonts w:ascii="Verdana" w:hAnsi="Verdana"/>
        </w:rPr>
      </w:pPr>
    </w:p>
    <w:p w:rsidR="002331A0" w:rsidRDefault="002331A0" w:rsidP="002331A0">
      <w:pPr>
        <w:pStyle w:val="BodyText"/>
        <w:ind w:right="135"/>
        <w:rPr>
          <w:rFonts w:ascii="Verdana" w:hAnsi="Verdana"/>
        </w:rPr>
      </w:pPr>
      <w:r w:rsidRPr="00AB224E">
        <w:rPr>
          <w:rFonts w:ascii="Verdana" w:hAnsi="Verdana"/>
        </w:rPr>
        <w:t xml:space="preserve">Further, it would be the duty of the client to monitor his/her/its position with the Broker from time to time. In case of any delay or failure in meeting any obligation, margin requirements etc. from client side, broker might close the existing position or open position WITHOUT ANY FURTHER INTIMATION to the client as per RMS policy. Notwithstanding anything contrary stated in the KYC documents, the stock broker in its absolute discretion, shall impose such restriction(s) or prohibit the client from taking further position or close out existing position or terminate broker – client relationship, in happening of any of the following or under any of the following circumstances which may include without </w:t>
      </w:r>
      <w:r w:rsidRPr="00AB224E">
        <w:rPr>
          <w:rFonts w:ascii="Verdana" w:hAnsi="Verdana"/>
          <w:spacing w:val="-3"/>
        </w:rPr>
        <w:t xml:space="preserve">any </w:t>
      </w:r>
      <w:r w:rsidRPr="00AB224E">
        <w:rPr>
          <w:rFonts w:ascii="Verdana" w:hAnsi="Verdana"/>
        </w:rPr>
        <w:t>limitation,</w:t>
      </w:r>
    </w:p>
    <w:p w:rsidR="003C45F3" w:rsidRPr="00AB224E" w:rsidRDefault="003C45F3" w:rsidP="002331A0">
      <w:pPr>
        <w:pStyle w:val="BodyText"/>
        <w:ind w:right="135"/>
        <w:rPr>
          <w:rFonts w:ascii="Verdana" w:hAnsi="Verdana"/>
        </w:rPr>
      </w:pPr>
    </w:p>
    <w:p w:rsidR="002331A0" w:rsidRPr="00AB224E" w:rsidRDefault="002331A0" w:rsidP="002331A0">
      <w:pPr>
        <w:pStyle w:val="ListParagraph"/>
        <w:numPr>
          <w:ilvl w:val="0"/>
          <w:numId w:val="1"/>
        </w:numPr>
        <w:tabs>
          <w:tab w:val="left" w:pos="1219"/>
          <w:tab w:val="left" w:pos="1220"/>
        </w:tabs>
        <w:jc w:val="both"/>
        <w:rPr>
          <w:rFonts w:ascii="Verdana" w:hAnsi="Verdana"/>
          <w:sz w:val="24"/>
          <w:szCs w:val="24"/>
        </w:rPr>
      </w:pPr>
      <w:r w:rsidRPr="00AB224E">
        <w:rPr>
          <w:rFonts w:ascii="Verdana" w:hAnsi="Verdana"/>
          <w:sz w:val="24"/>
          <w:szCs w:val="24"/>
        </w:rPr>
        <w:t>failure to meet pay-in obligation on T+1day;</w:t>
      </w:r>
    </w:p>
    <w:p w:rsidR="002331A0" w:rsidRPr="00AB224E" w:rsidRDefault="002331A0" w:rsidP="002331A0">
      <w:pPr>
        <w:pStyle w:val="ListParagraph"/>
        <w:numPr>
          <w:ilvl w:val="0"/>
          <w:numId w:val="1"/>
        </w:numPr>
        <w:tabs>
          <w:tab w:val="left" w:pos="1219"/>
          <w:tab w:val="left" w:pos="1220"/>
        </w:tabs>
        <w:jc w:val="both"/>
        <w:rPr>
          <w:rFonts w:ascii="Verdana" w:hAnsi="Verdana"/>
          <w:sz w:val="24"/>
          <w:szCs w:val="24"/>
        </w:rPr>
      </w:pPr>
      <w:r w:rsidRPr="00AB224E">
        <w:rPr>
          <w:rFonts w:ascii="Verdana" w:hAnsi="Verdana"/>
          <w:sz w:val="24"/>
          <w:szCs w:val="24"/>
        </w:rPr>
        <w:t>delay in meeting the pay-in or marginrequirement;</w:t>
      </w:r>
    </w:p>
    <w:p w:rsidR="002331A0" w:rsidRPr="00AB224E" w:rsidRDefault="002331A0" w:rsidP="002331A0">
      <w:pPr>
        <w:pStyle w:val="ListParagraph"/>
        <w:numPr>
          <w:ilvl w:val="0"/>
          <w:numId w:val="1"/>
        </w:numPr>
        <w:tabs>
          <w:tab w:val="left" w:pos="1219"/>
          <w:tab w:val="left" w:pos="1220"/>
        </w:tabs>
        <w:ind w:hanging="721"/>
        <w:jc w:val="both"/>
        <w:rPr>
          <w:rFonts w:ascii="Verdana" w:hAnsi="Verdana"/>
          <w:sz w:val="24"/>
          <w:szCs w:val="24"/>
        </w:rPr>
      </w:pPr>
      <w:r w:rsidRPr="00AB224E">
        <w:rPr>
          <w:rFonts w:ascii="Verdana" w:hAnsi="Verdana"/>
          <w:sz w:val="24"/>
          <w:szCs w:val="24"/>
        </w:rPr>
        <w:t>delay or failure in clearance of outstanding or dues to thebroker;</w:t>
      </w:r>
    </w:p>
    <w:p w:rsidR="002331A0" w:rsidRPr="00AB224E" w:rsidRDefault="002331A0" w:rsidP="002331A0">
      <w:pPr>
        <w:pStyle w:val="ListParagraph"/>
        <w:numPr>
          <w:ilvl w:val="0"/>
          <w:numId w:val="1"/>
        </w:numPr>
        <w:tabs>
          <w:tab w:val="left" w:pos="1219"/>
          <w:tab w:val="left" w:pos="1220"/>
        </w:tabs>
        <w:ind w:hanging="721"/>
        <w:jc w:val="both"/>
        <w:rPr>
          <w:rFonts w:ascii="Verdana" w:hAnsi="Verdana"/>
          <w:sz w:val="24"/>
          <w:szCs w:val="24"/>
        </w:rPr>
      </w:pPr>
      <w:r w:rsidRPr="00AB224E">
        <w:rPr>
          <w:rFonts w:ascii="Verdana" w:hAnsi="Verdana"/>
          <w:sz w:val="24"/>
          <w:szCs w:val="24"/>
        </w:rPr>
        <w:t>returning or frequent returning of cheque(s) of theclient;</w:t>
      </w:r>
    </w:p>
    <w:p w:rsidR="002331A0" w:rsidRPr="00AB224E" w:rsidRDefault="002331A0" w:rsidP="002331A0">
      <w:pPr>
        <w:pStyle w:val="ListParagraph"/>
        <w:numPr>
          <w:ilvl w:val="0"/>
          <w:numId w:val="1"/>
        </w:numPr>
        <w:tabs>
          <w:tab w:val="left" w:pos="1219"/>
          <w:tab w:val="left" w:pos="1220"/>
        </w:tabs>
        <w:ind w:left="1219" w:right="137"/>
        <w:jc w:val="both"/>
        <w:rPr>
          <w:rFonts w:ascii="Verdana" w:hAnsi="Verdana"/>
          <w:sz w:val="24"/>
          <w:szCs w:val="24"/>
        </w:rPr>
      </w:pPr>
      <w:r w:rsidRPr="00AB224E">
        <w:rPr>
          <w:rFonts w:ascii="Verdana" w:hAnsi="Verdana"/>
          <w:sz w:val="24"/>
          <w:szCs w:val="24"/>
        </w:rPr>
        <w:t>Unnecessary / Unwarranted dispute from client without any substantial cause / reason;</w:t>
      </w:r>
    </w:p>
    <w:p w:rsidR="002331A0" w:rsidRDefault="002331A0" w:rsidP="002331A0">
      <w:pPr>
        <w:pStyle w:val="ListParagraph"/>
        <w:numPr>
          <w:ilvl w:val="0"/>
          <w:numId w:val="1"/>
        </w:numPr>
        <w:tabs>
          <w:tab w:val="left" w:pos="1219"/>
          <w:tab w:val="left" w:pos="1220"/>
        </w:tabs>
        <w:spacing w:before="41"/>
        <w:ind w:right="137"/>
        <w:jc w:val="both"/>
        <w:rPr>
          <w:rFonts w:ascii="Verdana" w:hAnsi="Verdana"/>
          <w:sz w:val="24"/>
          <w:szCs w:val="24"/>
        </w:rPr>
      </w:pPr>
      <w:r w:rsidRPr="00AB224E">
        <w:rPr>
          <w:rFonts w:ascii="Verdana" w:hAnsi="Verdana"/>
          <w:sz w:val="24"/>
          <w:szCs w:val="24"/>
        </w:rPr>
        <w:t>Client’s attitude of not coming to the amicable settlement for any dispute that can be settled without involvement of Exchange and /orSEBI;</w:t>
      </w:r>
    </w:p>
    <w:p w:rsidR="002331A0" w:rsidRPr="00AB224E" w:rsidRDefault="002331A0" w:rsidP="002331A0">
      <w:pPr>
        <w:pStyle w:val="ListParagraph"/>
        <w:numPr>
          <w:ilvl w:val="0"/>
          <w:numId w:val="1"/>
        </w:numPr>
        <w:tabs>
          <w:tab w:val="left" w:pos="1219"/>
          <w:tab w:val="left" w:pos="1220"/>
        </w:tabs>
        <w:ind w:right="136"/>
        <w:jc w:val="both"/>
        <w:rPr>
          <w:rFonts w:ascii="Verdana" w:hAnsi="Verdana"/>
          <w:sz w:val="24"/>
          <w:szCs w:val="24"/>
        </w:rPr>
      </w:pPr>
      <w:r w:rsidRPr="00AB224E">
        <w:rPr>
          <w:rFonts w:ascii="Verdana" w:hAnsi="Verdana"/>
          <w:sz w:val="24"/>
          <w:szCs w:val="24"/>
        </w:rPr>
        <w:t>As per prevalent surveillance action or RMS policy of the Broker from time to time;</w:t>
      </w:r>
    </w:p>
    <w:p w:rsidR="002331A0" w:rsidRPr="00AB224E" w:rsidRDefault="002331A0" w:rsidP="002331A0">
      <w:pPr>
        <w:pStyle w:val="ListParagraph"/>
        <w:numPr>
          <w:ilvl w:val="0"/>
          <w:numId w:val="1"/>
        </w:numPr>
        <w:tabs>
          <w:tab w:val="left" w:pos="1219"/>
          <w:tab w:val="left" w:pos="1220"/>
          <w:tab w:val="left" w:pos="1807"/>
          <w:tab w:val="left" w:pos="2894"/>
          <w:tab w:val="left" w:pos="3581"/>
          <w:tab w:val="left" w:pos="5229"/>
          <w:tab w:val="left" w:pos="5652"/>
          <w:tab w:val="left" w:pos="6311"/>
          <w:tab w:val="left" w:pos="7060"/>
          <w:tab w:val="left" w:pos="8393"/>
          <w:tab w:val="left" w:pos="8818"/>
        </w:tabs>
        <w:ind w:right="134"/>
        <w:jc w:val="both"/>
        <w:rPr>
          <w:rFonts w:ascii="Verdana" w:hAnsi="Verdana"/>
          <w:sz w:val="24"/>
          <w:szCs w:val="24"/>
        </w:rPr>
      </w:pPr>
      <w:r w:rsidRPr="00AB224E">
        <w:rPr>
          <w:rFonts w:ascii="Verdana" w:hAnsi="Verdana"/>
          <w:sz w:val="24"/>
          <w:szCs w:val="24"/>
        </w:rPr>
        <w:t>Any</w:t>
      </w:r>
      <w:r w:rsidRPr="00AB224E">
        <w:rPr>
          <w:rFonts w:ascii="Verdana" w:hAnsi="Verdana"/>
          <w:sz w:val="24"/>
          <w:szCs w:val="24"/>
        </w:rPr>
        <w:tab/>
        <w:t>direction</w:t>
      </w:r>
      <w:r w:rsidRPr="00AB224E">
        <w:rPr>
          <w:rFonts w:ascii="Verdana" w:hAnsi="Verdana"/>
          <w:sz w:val="24"/>
          <w:szCs w:val="24"/>
        </w:rPr>
        <w:tab/>
        <w:t>from</w:t>
      </w:r>
      <w:r w:rsidRPr="00AB224E">
        <w:rPr>
          <w:rFonts w:ascii="Verdana" w:hAnsi="Verdana"/>
          <w:sz w:val="24"/>
          <w:szCs w:val="24"/>
        </w:rPr>
        <w:tab/>
        <w:t>SEBI/Exchange</w:t>
      </w:r>
      <w:r w:rsidRPr="00AB224E">
        <w:rPr>
          <w:rFonts w:ascii="Verdana" w:hAnsi="Verdana"/>
          <w:sz w:val="24"/>
          <w:szCs w:val="24"/>
        </w:rPr>
        <w:tab/>
        <w:t>or</w:t>
      </w:r>
      <w:r w:rsidRPr="00AB224E">
        <w:rPr>
          <w:rFonts w:ascii="Verdana" w:hAnsi="Verdana"/>
          <w:sz w:val="24"/>
          <w:szCs w:val="24"/>
        </w:rPr>
        <w:tab/>
        <w:t>such</w:t>
      </w:r>
      <w:r w:rsidRPr="00AB224E">
        <w:rPr>
          <w:rFonts w:ascii="Verdana" w:hAnsi="Verdana"/>
          <w:sz w:val="24"/>
          <w:szCs w:val="24"/>
        </w:rPr>
        <w:tab/>
        <w:t>otherauthorities,or</w:t>
      </w:r>
      <w:r w:rsidRPr="00AB224E">
        <w:rPr>
          <w:rFonts w:ascii="Verdana" w:hAnsi="Verdana"/>
          <w:spacing w:val="-6"/>
          <w:sz w:val="24"/>
          <w:szCs w:val="24"/>
        </w:rPr>
        <w:t xml:space="preserve">any </w:t>
      </w:r>
      <w:r w:rsidRPr="00AB224E">
        <w:rPr>
          <w:rFonts w:ascii="Verdana" w:hAnsi="Verdana"/>
          <w:sz w:val="24"/>
          <w:szCs w:val="24"/>
        </w:rPr>
        <w:t>commencement of legal process against the client under any law inforce;</w:t>
      </w:r>
    </w:p>
    <w:p w:rsidR="002331A0" w:rsidRPr="00AB224E" w:rsidRDefault="002331A0" w:rsidP="002331A0">
      <w:pPr>
        <w:pStyle w:val="ListParagraph"/>
        <w:numPr>
          <w:ilvl w:val="0"/>
          <w:numId w:val="1"/>
        </w:numPr>
        <w:tabs>
          <w:tab w:val="left" w:pos="1219"/>
          <w:tab w:val="left" w:pos="1220"/>
        </w:tabs>
        <w:spacing w:line="293" w:lineRule="exact"/>
        <w:jc w:val="both"/>
        <w:rPr>
          <w:rFonts w:ascii="Verdana" w:hAnsi="Verdana"/>
          <w:sz w:val="24"/>
          <w:szCs w:val="24"/>
        </w:rPr>
      </w:pPr>
      <w:r w:rsidRPr="00AB224E">
        <w:rPr>
          <w:rFonts w:ascii="Verdana" w:hAnsi="Verdana"/>
          <w:sz w:val="24"/>
          <w:szCs w:val="24"/>
        </w:rPr>
        <w:lastRenderedPageBreak/>
        <w:t>On the death/lunacy or any other disability ofclient;</w:t>
      </w:r>
    </w:p>
    <w:p w:rsidR="002331A0" w:rsidRPr="00AB224E" w:rsidRDefault="002331A0" w:rsidP="002331A0">
      <w:pPr>
        <w:pStyle w:val="ListParagraph"/>
        <w:numPr>
          <w:ilvl w:val="0"/>
          <w:numId w:val="1"/>
        </w:numPr>
        <w:tabs>
          <w:tab w:val="left" w:pos="1220"/>
        </w:tabs>
        <w:spacing w:line="242" w:lineRule="auto"/>
        <w:ind w:right="137"/>
        <w:jc w:val="both"/>
        <w:rPr>
          <w:rFonts w:ascii="Verdana" w:hAnsi="Verdana"/>
          <w:sz w:val="24"/>
          <w:szCs w:val="24"/>
        </w:rPr>
      </w:pPr>
      <w:r w:rsidRPr="00AB224E">
        <w:rPr>
          <w:rFonts w:ascii="Verdana" w:hAnsi="Verdana"/>
          <w:sz w:val="24"/>
          <w:szCs w:val="24"/>
        </w:rPr>
        <w:t>If a receiver / liquidator / administrator has been appointed or allowed to be appointed for all or any part of the undertaking of theclient;</w:t>
      </w:r>
    </w:p>
    <w:p w:rsidR="002331A0" w:rsidRPr="00AB224E" w:rsidRDefault="002331A0" w:rsidP="002331A0">
      <w:pPr>
        <w:pStyle w:val="ListParagraph"/>
        <w:numPr>
          <w:ilvl w:val="0"/>
          <w:numId w:val="1"/>
        </w:numPr>
        <w:tabs>
          <w:tab w:val="left" w:pos="1220"/>
        </w:tabs>
        <w:ind w:right="134"/>
        <w:jc w:val="both"/>
        <w:rPr>
          <w:rFonts w:ascii="Verdana" w:hAnsi="Verdana"/>
          <w:sz w:val="24"/>
          <w:szCs w:val="24"/>
        </w:rPr>
      </w:pPr>
      <w:r w:rsidRPr="00AB224E">
        <w:rPr>
          <w:rFonts w:ascii="Verdana" w:hAnsi="Verdana"/>
          <w:sz w:val="24"/>
          <w:szCs w:val="24"/>
        </w:rPr>
        <w:t>If the action of the client is/are prima facie illegal / improper or such as to manipulate the price of any securities or disturb the normal / proper functioning of the market, either alone or in conjunction withothers;</w:t>
      </w:r>
    </w:p>
    <w:p w:rsidR="002331A0" w:rsidRPr="00AB224E" w:rsidRDefault="002331A0" w:rsidP="002331A0">
      <w:pPr>
        <w:pStyle w:val="ListParagraph"/>
        <w:numPr>
          <w:ilvl w:val="0"/>
          <w:numId w:val="1"/>
        </w:numPr>
        <w:tabs>
          <w:tab w:val="left" w:pos="1220"/>
        </w:tabs>
        <w:ind w:right="136"/>
        <w:jc w:val="both"/>
        <w:rPr>
          <w:rFonts w:ascii="Verdana" w:hAnsi="Verdana"/>
          <w:sz w:val="24"/>
          <w:szCs w:val="24"/>
        </w:rPr>
      </w:pPr>
      <w:r w:rsidRPr="00AB224E">
        <w:rPr>
          <w:rFonts w:ascii="Verdana" w:hAnsi="Verdana"/>
          <w:sz w:val="24"/>
          <w:szCs w:val="24"/>
        </w:rPr>
        <w:t>If the client has voluntarily or compulsorily become the subject of proceedings under any bankruptcy or insolvency law or being a company, goes into liquidation or has a receiver appointed in respect of its assets or refers to itself to the BIFR or under any other law providing protection as a reliefundertaking;</w:t>
      </w:r>
    </w:p>
    <w:p w:rsidR="002331A0" w:rsidRPr="00AB224E" w:rsidRDefault="002331A0" w:rsidP="002331A0">
      <w:pPr>
        <w:pStyle w:val="ListParagraph"/>
        <w:numPr>
          <w:ilvl w:val="0"/>
          <w:numId w:val="1"/>
        </w:numPr>
        <w:tabs>
          <w:tab w:val="left" w:pos="1220"/>
        </w:tabs>
        <w:ind w:right="138"/>
        <w:jc w:val="both"/>
        <w:rPr>
          <w:rFonts w:ascii="Verdana" w:hAnsi="Verdana"/>
          <w:sz w:val="24"/>
          <w:szCs w:val="24"/>
        </w:rPr>
      </w:pPr>
      <w:r w:rsidRPr="00AB224E">
        <w:rPr>
          <w:rFonts w:ascii="Verdana" w:hAnsi="Verdana"/>
          <w:sz w:val="24"/>
          <w:szCs w:val="24"/>
        </w:rPr>
        <w:t>In case of partnership client, the partnership has taken any steps for dissolution ofpartnership;</w:t>
      </w:r>
    </w:p>
    <w:p w:rsidR="002331A0" w:rsidRPr="00AB224E" w:rsidRDefault="002331A0" w:rsidP="002331A0">
      <w:pPr>
        <w:pStyle w:val="ListParagraph"/>
        <w:numPr>
          <w:ilvl w:val="0"/>
          <w:numId w:val="1"/>
        </w:numPr>
        <w:tabs>
          <w:tab w:val="left" w:pos="1220"/>
        </w:tabs>
        <w:ind w:right="135"/>
        <w:jc w:val="both"/>
        <w:rPr>
          <w:rFonts w:ascii="Verdana" w:hAnsi="Verdana"/>
          <w:sz w:val="24"/>
          <w:szCs w:val="24"/>
        </w:rPr>
      </w:pPr>
      <w:r w:rsidRPr="00AB224E">
        <w:rPr>
          <w:rFonts w:ascii="Verdana" w:hAnsi="Verdana"/>
          <w:sz w:val="24"/>
          <w:szCs w:val="24"/>
        </w:rPr>
        <w:t>If the client has made any material misrepresentation of the facts, including without limitation in relation to the funds and/orsecurity;</w:t>
      </w:r>
    </w:p>
    <w:p w:rsidR="002331A0" w:rsidRPr="00AB224E" w:rsidRDefault="002331A0" w:rsidP="002331A0">
      <w:pPr>
        <w:pStyle w:val="ListParagraph"/>
        <w:numPr>
          <w:ilvl w:val="0"/>
          <w:numId w:val="1"/>
        </w:numPr>
        <w:tabs>
          <w:tab w:val="left" w:pos="1220"/>
        </w:tabs>
        <w:ind w:right="136"/>
        <w:jc w:val="both"/>
        <w:rPr>
          <w:rFonts w:ascii="Verdana" w:hAnsi="Verdana"/>
          <w:sz w:val="24"/>
          <w:szCs w:val="24"/>
        </w:rPr>
      </w:pPr>
      <w:r w:rsidRPr="00AB224E">
        <w:rPr>
          <w:rFonts w:ascii="Verdana" w:hAnsi="Verdana"/>
          <w:sz w:val="24"/>
          <w:szCs w:val="24"/>
        </w:rPr>
        <w:t>If there is reasonable apprehension to the Stock broker that the client is unable to pay his/her/its debts or has admitted its inability to pay, as they become payable;</w:t>
      </w:r>
    </w:p>
    <w:p w:rsidR="002331A0" w:rsidRPr="00AB224E" w:rsidRDefault="002331A0" w:rsidP="002331A0">
      <w:pPr>
        <w:pStyle w:val="ListParagraph"/>
        <w:numPr>
          <w:ilvl w:val="0"/>
          <w:numId w:val="1"/>
        </w:numPr>
        <w:tabs>
          <w:tab w:val="left" w:pos="1220"/>
        </w:tabs>
        <w:ind w:left="1219" w:right="136"/>
        <w:jc w:val="both"/>
        <w:rPr>
          <w:rFonts w:ascii="Verdana" w:hAnsi="Verdana"/>
          <w:sz w:val="24"/>
          <w:szCs w:val="24"/>
        </w:rPr>
      </w:pPr>
      <w:r w:rsidRPr="00AB224E">
        <w:rPr>
          <w:rFonts w:ascii="Verdana" w:hAnsi="Verdana"/>
          <w:sz w:val="24"/>
          <w:szCs w:val="24"/>
        </w:rPr>
        <w:t>If the client suffers any adverse material change in his/her/its financial position or defaults in any other agreement or understanding or obligation with the stock broker;</w:t>
      </w:r>
    </w:p>
    <w:p w:rsidR="002331A0" w:rsidRPr="00AB224E" w:rsidRDefault="002331A0" w:rsidP="002331A0">
      <w:pPr>
        <w:pStyle w:val="ListParagraph"/>
        <w:numPr>
          <w:ilvl w:val="0"/>
          <w:numId w:val="1"/>
        </w:numPr>
        <w:tabs>
          <w:tab w:val="left" w:pos="1220"/>
        </w:tabs>
        <w:ind w:left="1219" w:right="135"/>
        <w:jc w:val="both"/>
        <w:rPr>
          <w:rFonts w:ascii="Verdana" w:hAnsi="Verdana"/>
          <w:sz w:val="24"/>
          <w:szCs w:val="24"/>
        </w:rPr>
      </w:pPr>
      <w:r w:rsidRPr="00AB224E">
        <w:rPr>
          <w:rFonts w:ascii="Verdana" w:hAnsi="Verdana"/>
          <w:sz w:val="24"/>
          <w:szCs w:val="24"/>
        </w:rPr>
        <w:t>If any covenant or warranty of the client is incorrect or untrue in any material respect;</w:t>
      </w:r>
    </w:p>
    <w:p w:rsidR="002331A0" w:rsidRPr="00AB224E" w:rsidRDefault="002331A0" w:rsidP="002331A0">
      <w:pPr>
        <w:pStyle w:val="ListParagraph"/>
        <w:numPr>
          <w:ilvl w:val="0"/>
          <w:numId w:val="1"/>
        </w:numPr>
        <w:tabs>
          <w:tab w:val="left" w:pos="1220"/>
        </w:tabs>
        <w:ind w:left="1219" w:right="141"/>
        <w:jc w:val="both"/>
        <w:rPr>
          <w:rFonts w:ascii="Verdana" w:hAnsi="Verdana"/>
          <w:sz w:val="24"/>
          <w:szCs w:val="24"/>
        </w:rPr>
      </w:pPr>
      <w:r w:rsidRPr="00AB224E">
        <w:rPr>
          <w:rFonts w:ascii="Verdana" w:hAnsi="Verdana"/>
          <w:sz w:val="24"/>
          <w:szCs w:val="24"/>
        </w:rPr>
        <w:t>Under such other circumstances as the Broker might think just and proper on case to case basis.</w:t>
      </w:r>
    </w:p>
    <w:p w:rsidR="002331A0" w:rsidRPr="00AB224E" w:rsidRDefault="002331A0" w:rsidP="002331A0">
      <w:pPr>
        <w:pStyle w:val="BodyText"/>
        <w:spacing w:before="6"/>
        <w:ind w:left="0"/>
        <w:rPr>
          <w:rFonts w:ascii="Verdana" w:hAnsi="Verdana"/>
        </w:rPr>
      </w:pPr>
    </w:p>
    <w:p w:rsidR="00642899" w:rsidRDefault="00642899"/>
    <w:sectPr w:rsidR="00642899" w:rsidSect="008820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rlito">
    <w:altName w:val="Calibri"/>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316D5"/>
    <w:multiLevelType w:val="hybridMultilevel"/>
    <w:tmpl w:val="5412B280"/>
    <w:lvl w:ilvl="0" w:tplc="5272579A">
      <w:start w:val="1"/>
      <w:numFmt w:val="lowerRoman"/>
      <w:lvlText w:val="(%1)"/>
      <w:lvlJc w:val="left"/>
      <w:pPr>
        <w:ind w:left="1220" w:hanging="720"/>
        <w:jc w:val="left"/>
      </w:pPr>
      <w:rPr>
        <w:rFonts w:ascii="Carlito" w:eastAsia="Carlito" w:hAnsi="Carlito" w:cs="Carlito" w:hint="default"/>
        <w:spacing w:val="-3"/>
        <w:w w:val="100"/>
        <w:sz w:val="24"/>
        <w:szCs w:val="24"/>
        <w:lang w:val="en-US" w:eastAsia="en-US" w:bidi="ar-SA"/>
      </w:rPr>
    </w:lvl>
    <w:lvl w:ilvl="1" w:tplc="4B4CFE8C">
      <w:numFmt w:val="bullet"/>
      <w:lvlText w:val="•"/>
      <w:lvlJc w:val="left"/>
      <w:pPr>
        <w:ind w:left="2028" w:hanging="720"/>
      </w:pPr>
      <w:rPr>
        <w:rFonts w:hint="default"/>
        <w:lang w:val="en-US" w:eastAsia="en-US" w:bidi="ar-SA"/>
      </w:rPr>
    </w:lvl>
    <w:lvl w:ilvl="2" w:tplc="E50A47E0">
      <w:numFmt w:val="bullet"/>
      <w:lvlText w:val="•"/>
      <w:lvlJc w:val="left"/>
      <w:pPr>
        <w:ind w:left="2837" w:hanging="720"/>
      </w:pPr>
      <w:rPr>
        <w:rFonts w:hint="default"/>
        <w:lang w:val="en-US" w:eastAsia="en-US" w:bidi="ar-SA"/>
      </w:rPr>
    </w:lvl>
    <w:lvl w:ilvl="3" w:tplc="B1746318">
      <w:numFmt w:val="bullet"/>
      <w:lvlText w:val="•"/>
      <w:lvlJc w:val="left"/>
      <w:pPr>
        <w:ind w:left="3645" w:hanging="720"/>
      </w:pPr>
      <w:rPr>
        <w:rFonts w:hint="default"/>
        <w:lang w:val="en-US" w:eastAsia="en-US" w:bidi="ar-SA"/>
      </w:rPr>
    </w:lvl>
    <w:lvl w:ilvl="4" w:tplc="E9202428">
      <w:numFmt w:val="bullet"/>
      <w:lvlText w:val="•"/>
      <w:lvlJc w:val="left"/>
      <w:pPr>
        <w:ind w:left="4454" w:hanging="720"/>
      </w:pPr>
      <w:rPr>
        <w:rFonts w:hint="default"/>
        <w:lang w:val="en-US" w:eastAsia="en-US" w:bidi="ar-SA"/>
      </w:rPr>
    </w:lvl>
    <w:lvl w:ilvl="5" w:tplc="96C2F69C">
      <w:numFmt w:val="bullet"/>
      <w:lvlText w:val="•"/>
      <w:lvlJc w:val="left"/>
      <w:pPr>
        <w:ind w:left="5263" w:hanging="720"/>
      </w:pPr>
      <w:rPr>
        <w:rFonts w:hint="default"/>
        <w:lang w:val="en-US" w:eastAsia="en-US" w:bidi="ar-SA"/>
      </w:rPr>
    </w:lvl>
    <w:lvl w:ilvl="6" w:tplc="4790B868">
      <w:numFmt w:val="bullet"/>
      <w:lvlText w:val="•"/>
      <w:lvlJc w:val="left"/>
      <w:pPr>
        <w:ind w:left="6071" w:hanging="720"/>
      </w:pPr>
      <w:rPr>
        <w:rFonts w:hint="default"/>
        <w:lang w:val="en-US" w:eastAsia="en-US" w:bidi="ar-SA"/>
      </w:rPr>
    </w:lvl>
    <w:lvl w:ilvl="7" w:tplc="26921A12">
      <w:numFmt w:val="bullet"/>
      <w:lvlText w:val="•"/>
      <w:lvlJc w:val="left"/>
      <w:pPr>
        <w:ind w:left="6880" w:hanging="720"/>
      </w:pPr>
      <w:rPr>
        <w:rFonts w:hint="default"/>
        <w:lang w:val="en-US" w:eastAsia="en-US" w:bidi="ar-SA"/>
      </w:rPr>
    </w:lvl>
    <w:lvl w:ilvl="8" w:tplc="754C5F5C">
      <w:numFmt w:val="bullet"/>
      <w:lvlText w:val="•"/>
      <w:lvlJc w:val="left"/>
      <w:pPr>
        <w:ind w:left="7689" w:hanging="720"/>
      </w:pPr>
      <w:rPr>
        <w:rFonts w:hint="default"/>
        <w:lang w:val="en-US" w:eastAsia="en-US" w:bidi="ar-SA"/>
      </w:rPr>
    </w:lvl>
  </w:abstractNum>
  <w:abstractNum w:abstractNumId="1">
    <w:nsid w:val="27C90EFF"/>
    <w:multiLevelType w:val="hybridMultilevel"/>
    <w:tmpl w:val="00669E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31A0"/>
    <w:rsid w:val="002331A0"/>
    <w:rsid w:val="003C45F3"/>
    <w:rsid w:val="00642899"/>
    <w:rsid w:val="006D12B8"/>
    <w:rsid w:val="008820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79" w:line="410" w:lineRule="auto"/>
        <w:ind w:left="1008" w:right="403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060"/>
    <w:pPr>
      <w:widowControl w:val="0"/>
      <w:autoSpaceDE w:val="0"/>
      <w:autoSpaceDN w:val="0"/>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31A0"/>
    <w:pPr>
      <w:spacing w:before="0"/>
      <w:ind w:left="140" w:right="0"/>
      <w:jc w:val="both"/>
    </w:pPr>
    <w:rPr>
      <w:rFonts w:ascii="Carlito" w:eastAsia="Carlito" w:hAnsi="Carlito" w:cs="Carlito"/>
      <w:sz w:val="24"/>
      <w:szCs w:val="24"/>
    </w:rPr>
  </w:style>
  <w:style w:type="character" w:customStyle="1" w:styleId="BodyTextChar">
    <w:name w:val="Body Text Char"/>
    <w:basedOn w:val="DefaultParagraphFont"/>
    <w:link w:val="BodyText"/>
    <w:uiPriority w:val="1"/>
    <w:rsid w:val="002331A0"/>
    <w:rPr>
      <w:rFonts w:ascii="Carlito" w:eastAsia="Carlito" w:hAnsi="Carlito" w:cs="Carlito"/>
      <w:sz w:val="24"/>
      <w:szCs w:val="24"/>
    </w:rPr>
  </w:style>
  <w:style w:type="paragraph" w:styleId="ListParagraph">
    <w:name w:val="List Paragraph"/>
    <w:basedOn w:val="Normal"/>
    <w:uiPriority w:val="34"/>
    <w:qFormat/>
    <w:rsid w:val="002331A0"/>
    <w:pPr>
      <w:spacing w:before="0"/>
      <w:ind w:left="1220" w:right="0" w:hanging="720"/>
    </w:pPr>
    <w:rPr>
      <w:rFonts w:ascii="Carlito" w:eastAsia="Carlito" w:hAnsi="Carlito" w:cs="Carli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admin1</cp:lastModifiedBy>
  <cp:revision>4</cp:revision>
  <dcterms:created xsi:type="dcterms:W3CDTF">2023-02-27T12:31:00Z</dcterms:created>
  <dcterms:modified xsi:type="dcterms:W3CDTF">2023-03-01T09:51:00Z</dcterms:modified>
</cp:coreProperties>
</file>