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70F89" w14:textId="77777777" w:rsidR="00051D78" w:rsidRPr="00051D78" w:rsidRDefault="00051D78" w:rsidP="00051D78">
      <w:pPr>
        <w:jc w:val="center"/>
        <w:rPr>
          <w:rFonts w:ascii="Verdana" w:hAnsi="Verdana"/>
          <w:b/>
          <w:bCs/>
          <w:sz w:val="28"/>
          <w:szCs w:val="28"/>
        </w:rPr>
      </w:pPr>
      <w:r w:rsidRPr="00051D78">
        <w:rPr>
          <w:rFonts w:ascii="Verdana" w:hAnsi="Verdana"/>
          <w:b/>
          <w:bCs/>
          <w:sz w:val="28"/>
          <w:szCs w:val="28"/>
        </w:rPr>
        <w:t>GTT-GTC Order Policy</w:t>
      </w:r>
    </w:p>
    <w:p w14:paraId="694BAE65" w14:textId="77777777" w:rsidR="00051D78" w:rsidRPr="00051D78" w:rsidRDefault="00051D78" w:rsidP="00051D78">
      <w:pPr>
        <w:jc w:val="both"/>
        <w:rPr>
          <w:rFonts w:ascii="Verdana" w:hAnsi="Verdana"/>
          <w:b/>
          <w:bCs/>
        </w:rPr>
      </w:pPr>
      <w:r w:rsidRPr="00051D78">
        <w:rPr>
          <w:rFonts w:ascii="Verdana" w:hAnsi="Verdana"/>
          <w:b/>
          <w:bCs/>
        </w:rPr>
        <w:t xml:space="preserve">Policy on Handling of Good </w:t>
      </w:r>
      <w:proofErr w:type="gramStart"/>
      <w:r w:rsidRPr="00051D78">
        <w:rPr>
          <w:rFonts w:ascii="Verdana" w:hAnsi="Verdana"/>
          <w:b/>
          <w:bCs/>
        </w:rPr>
        <w:t>Till</w:t>
      </w:r>
      <w:proofErr w:type="gramEnd"/>
      <w:r w:rsidRPr="00051D78">
        <w:rPr>
          <w:rFonts w:ascii="Verdana" w:hAnsi="Verdana"/>
          <w:b/>
          <w:bCs/>
        </w:rPr>
        <w:t xml:space="preserve"> Cancelled! Good Till Triggered Orders of Clients</w:t>
      </w:r>
    </w:p>
    <w:p w14:paraId="176E384D" w14:textId="01796D01" w:rsidR="00051D78" w:rsidRPr="00051D78" w:rsidRDefault="00051D78" w:rsidP="00051D78">
      <w:pPr>
        <w:jc w:val="both"/>
        <w:rPr>
          <w:rFonts w:ascii="Verdana" w:hAnsi="Verdana"/>
        </w:rPr>
      </w:pPr>
      <w:r w:rsidRPr="00051D78">
        <w:rPr>
          <w:rFonts w:ascii="Verdana" w:hAnsi="Verdana"/>
        </w:rPr>
        <w:t>GTT is a feature which allows you to set a trigger price, such that; if your trigger price is hit at a future date, an order will be placed on the exchange as per the limit / market price and preset conditions set by you.</w:t>
      </w:r>
    </w:p>
    <w:p w14:paraId="7A72B31E" w14:textId="77777777" w:rsidR="00051D78" w:rsidRPr="00051D78" w:rsidRDefault="00051D78" w:rsidP="00051D78">
      <w:pPr>
        <w:jc w:val="both"/>
        <w:rPr>
          <w:rFonts w:ascii="Verdana" w:hAnsi="Verdana"/>
        </w:rPr>
      </w:pPr>
      <w:r w:rsidRPr="00051D78">
        <w:rPr>
          <w:rFonts w:ascii="Verdana" w:hAnsi="Verdana"/>
        </w:rPr>
        <w:t>The parameters for placing a GTT order are as below:</w:t>
      </w:r>
    </w:p>
    <w:p w14:paraId="1D4E7B3D" w14:textId="087BB767" w:rsidR="00051D78" w:rsidRPr="00051D78" w:rsidRDefault="00051D78" w:rsidP="00051D78">
      <w:pPr>
        <w:numPr>
          <w:ilvl w:val="0"/>
          <w:numId w:val="1"/>
        </w:numPr>
        <w:jc w:val="both"/>
        <w:rPr>
          <w:rFonts w:ascii="Verdana" w:hAnsi="Verdana"/>
        </w:rPr>
      </w:pPr>
      <w:r w:rsidRPr="00051D78">
        <w:rPr>
          <w:rFonts w:ascii="Verdana" w:hAnsi="Verdana"/>
        </w:rPr>
        <w:t>Order Validity: GTT order will be valid for a period of 365 days for Equity (including MTF) orders.</w:t>
      </w:r>
    </w:p>
    <w:p w14:paraId="66DA9804" w14:textId="77777777" w:rsidR="00051D78" w:rsidRPr="00051D78" w:rsidRDefault="00051D78" w:rsidP="00051D78">
      <w:pPr>
        <w:numPr>
          <w:ilvl w:val="0"/>
          <w:numId w:val="1"/>
        </w:numPr>
        <w:jc w:val="both"/>
        <w:rPr>
          <w:rFonts w:ascii="Verdana" w:hAnsi="Verdana"/>
        </w:rPr>
      </w:pPr>
      <w:r w:rsidRPr="00051D78">
        <w:rPr>
          <w:rFonts w:ascii="Verdana" w:hAnsi="Verdana"/>
        </w:rPr>
        <w:t>Trigger Validity: One time till order is placed on the exchange.</w:t>
      </w:r>
    </w:p>
    <w:p w14:paraId="6B06CEE1" w14:textId="6CB0126D" w:rsidR="00051D78" w:rsidRPr="00051D78" w:rsidRDefault="00051D78" w:rsidP="00051D78">
      <w:pPr>
        <w:numPr>
          <w:ilvl w:val="0"/>
          <w:numId w:val="1"/>
        </w:numPr>
        <w:jc w:val="both"/>
        <w:rPr>
          <w:rFonts w:ascii="Verdana" w:hAnsi="Verdana"/>
        </w:rPr>
      </w:pPr>
      <w:r w:rsidRPr="00051D78">
        <w:rPr>
          <w:rFonts w:ascii="Verdana" w:hAnsi="Verdana"/>
        </w:rPr>
        <w:t xml:space="preserve">Corporate action handling: No handling will be done by </w:t>
      </w:r>
      <w:r>
        <w:rPr>
          <w:rFonts w:ascii="Verdana" w:hAnsi="Verdana"/>
        </w:rPr>
        <w:t>Leo Financial Services Ltd.</w:t>
      </w:r>
      <w:r w:rsidRPr="00051D78">
        <w:rPr>
          <w:rFonts w:ascii="Verdana" w:hAnsi="Verdana"/>
        </w:rPr>
        <w:t xml:space="preserve"> and the clients need to monitor and will be solely responsible for effect on prices and triggers based on stock / underlying specific corporate actions. Clients shall review their GTT orders proactively whenever there may be an impact of corporate action on their order/s. It would be the responsibility of the client to take appropriate action to modify / cancel orders accordingly.</w:t>
      </w:r>
    </w:p>
    <w:p w14:paraId="7F3B907C" w14:textId="77777777" w:rsidR="00051D78" w:rsidRPr="00051D78" w:rsidRDefault="00051D78" w:rsidP="00051D78">
      <w:pPr>
        <w:numPr>
          <w:ilvl w:val="0"/>
          <w:numId w:val="1"/>
        </w:numPr>
        <w:jc w:val="both"/>
        <w:rPr>
          <w:rFonts w:ascii="Verdana" w:hAnsi="Verdana"/>
        </w:rPr>
      </w:pPr>
      <w:r w:rsidRPr="00051D78">
        <w:rPr>
          <w:rFonts w:ascii="Verdana" w:hAnsi="Verdana"/>
        </w:rPr>
        <w:t>All upcoming corporate actions including dividend, bonus, split, etc. shall be intimated to clients having unexecuted GTT orders at least one day prior to the ex-date of the corporate action.</w:t>
      </w:r>
    </w:p>
    <w:p w14:paraId="2B22E3E7" w14:textId="7A9D7A1B" w:rsidR="00051D78" w:rsidRPr="00051D78" w:rsidRDefault="00051D78" w:rsidP="00051D78">
      <w:pPr>
        <w:numPr>
          <w:ilvl w:val="0"/>
          <w:numId w:val="1"/>
        </w:numPr>
        <w:jc w:val="both"/>
        <w:rPr>
          <w:rFonts w:ascii="Verdana" w:hAnsi="Verdana"/>
        </w:rPr>
      </w:pPr>
      <w:r w:rsidRPr="00051D78">
        <w:rPr>
          <w:rFonts w:ascii="Verdana" w:hAnsi="Verdana"/>
        </w:rPr>
        <w:t xml:space="preserve">Execution Price - Can be at market or limit as per the order set. </w:t>
      </w:r>
    </w:p>
    <w:p w14:paraId="748DDC52" w14:textId="699E0CCF" w:rsidR="00051D78" w:rsidRPr="00051D78" w:rsidRDefault="00051D78" w:rsidP="00051D78">
      <w:pPr>
        <w:numPr>
          <w:ilvl w:val="0"/>
          <w:numId w:val="1"/>
        </w:numPr>
        <w:jc w:val="both"/>
        <w:rPr>
          <w:rFonts w:ascii="Verdana" w:hAnsi="Verdana"/>
        </w:rPr>
      </w:pPr>
      <w:r w:rsidRPr="00051D78">
        <w:rPr>
          <w:rFonts w:ascii="Verdana" w:hAnsi="Verdana"/>
        </w:rPr>
        <w:t>Orders cap: A maximum of 200 open GTT orders can be placed by the client at any given point of time.</w:t>
      </w:r>
    </w:p>
    <w:p w14:paraId="014A39F7" w14:textId="77777777" w:rsidR="00051D78" w:rsidRPr="00051D78" w:rsidRDefault="00051D78" w:rsidP="00051D78">
      <w:pPr>
        <w:numPr>
          <w:ilvl w:val="0"/>
          <w:numId w:val="1"/>
        </w:numPr>
        <w:jc w:val="both"/>
        <w:rPr>
          <w:rFonts w:ascii="Verdana" w:hAnsi="Verdana"/>
        </w:rPr>
      </w:pPr>
      <w:r w:rsidRPr="00051D78">
        <w:rPr>
          <w:rFonts w:ascii="Verdana" w:hAnsi="Verdana"/>
        </w:rPr>
        <w:t>Charges: There are no additional charges for placing a GTT order. Standard brokerage rates will apply for executed GTT orders.</w:t>
      </w:r>
    </w:p>
    <w:p w14:paraId="179E7C18" w14:textId="77777777" w:rsidR="00051D78" w:rsidRPr="00051D78" w:rsidRDefault="00051D78" w:rsidP="00051D78">
      <w:pPr>
        <w:numPr>
          <w:ilvl w:val="0"/>
          <w:numId w:val="1"/>
        </w:numPr>
        <w:jc w:val="both"/>
        <w:rPr>
          <w:rFonts w:ascii="Verdana" w:hAnsi="Verdana"/>
        </w:rPr>
      </w:pPr>
      <w:r w:rsidRPr="00051D78">
        <w:rPr>
          <w:rFonts w:ascii="Verdana" w:hAnsi="Verdana"/>
        </w:rPr>
        <w:t>Margin Availability: No funds / margin is blocked when placing a GTT order. Funds / margin is required when the trigger price is hit. If sufficient margin is not there at the time of trigger, the order placement may fail.</w:t>
      </w:r>
    </w:p>
    <w:p w14:paraId="360B6383" w14:textId="63904115" w:rsidR="00051D78" w:rsidRPr="00051D78" w:rsidRDefault="00051D78" w:rsidP="00051D78">
      <w:pPr>
        <w:numPr>
          <w:ilvl w:val="0"/>
          <w:numId w:val="1"/>
        </w:numPr>
        <w:jc w:val="both"/>
        <w:rPr>
          <w:rFonts w:ascii="Verdana" w:hAnsi="Verdana"/>
        </w:rPr>
      </w:pPr>
      <w:r w:rsidRPr="00051D78">
        <w:rPr>
          <w:rFonts w:ascii="Verdana" w:hAnsi="Verdana"/>
        </w:rPr>
        <w:t>Once a GTT is triggered, if the order is placed outside of the stock's "execution range", it may be cance</w:t>
      </w:r>
      <w:r>
        <w:rPr>
          <w:rFonts w:ascii="Verdana" w:hAnsi="Verdana"/>
        </w:rPr>
        <w:t>l</w:t>
      </w:r>
      <w:r w:rsidRPr="00051D78">
        <w:rPr>
          <w:rFonts w:ascii="Verdana" w:hAnsi="Verdana"/>
        </w:rPr>
        <w:t>led by the exchange. Any cost incurred due to such cancellation of an order placed outside the execution range is liable to be paid by the client.</w:t>
      </w:r>
    </w:p>
    <w:p w14:paraId="796967CE" w14:textId="301DA90F" w:rsidR="00051D78" w:rsidRPr="00051D78" w:rsidRDefault="00051D78" w:rsidP="00051D78">
      <w:pPr>
        <w:numPr>
          <w:ilvl w:val="0"/>
          <w:numId w:val="1"/>
        </w:numPr>
        <w:jc w:val="both"/>
        <w:rPr>
          <w:rFonts w:ascii="Verdana" w:hAnsi="Verdana"/>
        </w:rPr>
      </w:pPr>
      <w:r w:rsidRPr="00051D78">
        <w:rPr>
          <w:rFonts w:ascii="Verdana" w:hAnsi="Verdana"/>
        </w:rPr>
        <w:t>The responsibility of checking for a pending Gil order for a scrip before placing any new order(s) for the same is on the client.</w:t>
      </w:r>
    </w:p>
    <w:p w14:paraId="5BC04158" w14:textId="268A86C0" w:rsidR="00051D78" w:rsidRPr="00051D78" w:rsidRDefault="00051D78" w:rsidP="00051D78">
      <w:pPr>
        <w:numPr>
          <w:ilvl w:val="0"/>
          <w:numId w:val="1"/>
        </w:numPr>
        <w:jc w:val="both"/>
        <w:rPr>
          <w:rFonts w:ascii="Verdana" w:hAnsi="Verdana"/>
        </w:rPr>
      </w:pPr>
      <w:r w:rsidRPr="00051D78">
        <w:rPr>
          <w:rFonts w:ascii="Verdana" w:hAnsi="Verdana"/>
        </w:rPr>
        <w:t>GTT orders will be triggered as per the price available on NSE.</w:t>
      </w:r>
    </w:p>
    <w:p w14:paraId="7997C261" w14:textId="238E4514" w:rsidR="00051D78" w:rsidRPr="00051D78" w:rsidRDefault="00051D78" w:rsidP="00051D78">
      <w:pPr>
        <w:jc w:val="both"/>
        <w:rPr>
          <w:rFonts w:ascii="Verdana" w:hAnsi="Verdana"/>
        </w:rPr>
      </w:pPr>
      <w:r>
        <w:rPr>
          <w:rFonts w:ascii="Verdana" w:hAnsi="Verdana"/>
        </w:rPr>
        <w:t>Leo Financial Services Ltd.</w:t>
      </w:r>
      <w:r>
        <w:rPr>
          <w:rFonts w:ascii="Verdana" w:hAnsi="Verdana"/>
        </w:rPr>
        <w:t xml:space="preserve">, </w:t>
      </w:r>
      <w:r w:rsidRPr="00051D78">
        <w:rPr>
          <w:rFonts w:ascii="Verdana" w:hAnsi="Verdana"/>
        </w:rPr>
        <w:t>at all times, bears no liability towards the client for any reason whatsoever with respect to using the GTT Feature; including but not limited to, non-execution of any order using the GTT Feature / either leg of the order, any opportunity loss for non-execution of such orders / trades, any cancellation or nonplacement of any orders, and any such other claims which may arise from the client with respect to using the Gil feature.</w:t>
      </w:r>
    </w:p>
    <w:p w14:paraId="1204045C" w14:textId="01BB86D0" w:rsidR="00D75BF5" w:rsidRPr="00051D78" w:rsidRDefault="00051D78" w:rsidP="00051D78">
      <w:pPr>
        <w:jc w:val="both"/>
        <w:rPr>
          <w:rFonts w:ascii="Verdana" w:hAnsi="Verdana"/>
        </w:rPr>
      </w:pPr>
      <w:r w:rsidRPr="00051D78">
        <w:rPr>
          <w:rFonts w:ascii="Verdana" w:hAnsi="Verdana"/>
        </w:rPr>
        <w:t xml:space="preserve">This Policy may be removed/modified/replaced at any point of time by </w:t>
      </w:r>
      <w:r w:rsidR="002E1527">
        <w:rPr>
          <w:rFonts w:ascii="Verdana" w:hAnsi="Verdana"/>
        </w:rPr>
        <w:t>Leo Financial Services Ltd.</w:t>
      </w:r>
      <w:r w:rsidRPr="00051D78">
        <w:rPr>
          <w:rFonts w:ascii="Verdana" w:hAnsi="Verdana"/>
        </w:rPr>
        <w:t xml:space="preserve"> without providing any prior notification to clients. </w:t>
      </w:r>
    </w:p>
    <w:sectPr w:rsidR="00D75BF5" w:rsidRPr="00051D78" w:rsidSect="00051D7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00BA6"/>
    <w:multiLevelType w:val="multilevel"/>
    <w:tmpl w:val="394C9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5866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D78"/>
    <w:rsid w:val="00051D78"/>
    <w:rsid w:val="002168E0"/>
    <w:rsid w:val="002E1527"/>
    <w:rsid w:val="003412C3"/>
    <w:rsid w:val="00B648B0"/>
    <w:rsid w:val="00D7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B4BE4"/>
  <w15:chartTrackingRefBased/>
  <w15:docId w15:val="{ACC60D01-8CDD-40AC-B11C-EDB08AB21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1D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D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D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D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D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D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D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D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D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D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D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D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D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D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D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D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D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1D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1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D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1D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1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1D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1D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1D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D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D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1D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Seema Arora</dc:creator>
  <cp:keywords/>
  <dc:description/>
  <cp:lastModifiedBy>Seema Arora</cp:lastModifiedBy>
  <cp:revision>2</cp:revision>
  <dcterms:created xsi:type="dcterms:W3CDTF">2025-12-03T06:10:00Z</dcterms:created>
  <dcterms:modified xsi:type="dcterms:W3CDTF">2025-12-03T06:21:00Z</dcterms:modified>
</cp:coreProperties>
</file>